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广东省国土空间总体规划编制计费参考标准</w:t>
      </w:r>
    </w:p>
    <w:bookmarkEnd w:id="0"/>
    <w:p>
      <w:pPr>
        <w:keepNext w:val="0"/>
        <w:keepLines w:val="0"/>
        <w:pageBreakBefore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一、总则</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（一）本标准适用于地级以上市、县（市、区）和乡镇国土空间总体规划编制计费。</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（二）按照规划区域总面积分段计算基准指导价格，并进行价格调节，其中，市级规划按人口密度、审批机关和涉海情况3个方面进行调节，县级规划按人口密度和涉海情况2个方面进行调节。</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（三）基础性的专题研究纳入规划编制一并计费，不再单独计费；市县原则上使用全省通用版国土空间规划“一张图”实施监督信息系统，规划编制计费不含根据本地需要对信息系统进行适当功能扩展的费用。</w:t>
      </w:r>
    </w:p>
    <w:p>
      <w:pPr>
        <w:keepNext w:val="0"/>
        <w:keepLines w:val="0"/>
        <w:pageBreakBefore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二、地级以上市国土空间总体规划编制计费</w:t>
      </w:r>
    </w:p>
    <w:p>
      <w:pPr>
        <w:keepNext w:val="0"/>
        <w:keepLines w:val="0"/>
        <w:pageBreakBefore w:val="0"/>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sz w:val="28"/>
          <w:szCs w:val="28"/>
        </w:rPr>
      </w:pPr>
      <w:r>
        <w:drawing>
          <wp:inline distT="0" distB="0" distL="114300" distR="114300">
            <wp:extent cx="5476875" cy="51816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476875" cy="518160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说明：地级以上市国土空间总体规划编制计费=全域规划基准指导价格×调节系数1×调节系数2×调节系数3。</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示例：1.某报国务院审批城市市域面积1997平方公里，现状常住人口1245万人，人口密度为6234人/平方公里，属于涉海地市，对应人口密度调节系数1.4-1.6，审批机关调节系数1.3-1.5，涉海情况调节系数1.1-1.3，该市国土空间总体规划编制计费为：最小值=1500万×1.4×1.3×1.1=3003万元；最大值=1500万×1.6×1.5×1.3=4680万元。</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某地级以上市市域面积9507平方公里，现状常住人口456万人，人口密度为480人/平方公里，属于涉海地市，对应人口密度调节系数1.05-1.2，涉海情况调节系数1.1-1.3，该市国土空间总体规划编制计费为：最小值=（1500万+（10000-3000）/1000×30万）×1.05×1.1=1975万元；最大值=（1500万+（10000-3000）/1000×30万）×1.2×1.3=2668万元。</w:t>
      </w:r>
    </w:p>
    <w:p>
      <w:pPr>
        <w:keepNext w:val="0"/>
        <w:keepLines w:val="0"/>
        <w:pageBreakBefore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三、县（市、区）国土空间总体规划编制计费</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drawing>
          <wp:inline distT="0" distB="0" distL="114300" distR="114300">
            <wp:extent cx="5514975" cy="41529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514975" cy="415290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480" w:lineRule="exact"/>
        <w:ind w:firstLine="592" w:firstLineChars="200"/>
        <w:jc w:val="left"/>
        <w:textAlignment w:val="auto"/>
        <w:rPr>
          <w:rFonts w:hint="eastAsia" w:asciiTheme="minorEastAsia" w:hAnsiTheme="minorEastAsia" w:eastAsiaTheme="minorEastAsia" w:cstheme="minorEastAsia"/>
          <w:i w:val="0"/>
          <w:caps w:val="0"/>
          <w:color w:val="333333"/>
          <w:spacing w:val="8"/>
          <w:kern w:val="0"/>
          <w:sz w:val="28"/>
          <w:szCs w:val="28"/>
          <w:shd w:val="clear" w:fill="FFFFFF"/>
          <w:lang w:val="en-US" w:eastAsia="zh-CN" w:bidi="ar"/>
        </w:rPr>
      </w:pPr>
      <w:r>
        <w:rPr>
          <w:rFonts w:hint="eastAsia" w:asciiTheme="minorEastAsia" w:hAnsiTheme="minorEastAsia" w:eastAsiaTheme="minorEastAsia" w:cstheme="minorEastAsia"/>
          <w:i w:val="0"/>
          <w:caps w:val="0"/>
          <w:color w:val="333333"/>
          <w:spacing w:val="8"/>
          <w:kern w:val="0"/>
          <w:sz w:val="28"/>
          <w:szCs w:val="28"/>
          <w:shd w:val="clear" w:fill="FFFFFF"/>
          <w:lang w:val="en-US" w:eastAsia="zh-CN" w:bidi="ar"/>
        </w:rPr>
        <w:t>说明：县（市、区）国土空间总体规划编制计费=全域规划基准指导价格×调节系数1×调节系数2。</w:t>
      </w:r>
    </w:p>
    <w:p>
      <w:pPr>
        <w:keepNext w:val="0"/>
        <w:keepLines w:val="0"/>
        <w:pageBreakBefore w:val="0"/>
        <w:kinsoku/>
        <w:wordWrap/>
        <w:overflowPunct/>
        <w:topLinePunct w:val="0"/>
        <w:autoSpaceDE/>
        <w:autoSpaceDN/>
        <w:bidi w:val="0"/>
        <w:adjustRightInd/>
        <w:snapToGrid/>
        <w:spacing w:line="480" w:lineRule="exact"/>
        <w:ind w:firstLine="592" w:firstLineChars="200"/>
        <w:jc w:val="left"/>
        <w:textAlignment w:val="auto"/>
        <w:rPr>
          <w:rFonts w:hint="eastAsia" w:asciiTheme="minorEastAsia" w:hAnsiTheme="minorEastAsia" w:eastAsiaTheme="minorEastAsia" w:cstheme="minorEastAsia"/>
          <w:i w:val="0"/>
          <w:caps w:val="0"/>
          <w:color w:val="333333"/>
          <w:spacing w:val="8"/>
          <w:kern w:val="0"/>
          <w:sz w:val="28"/>
          <w:szCs w:val="28"/>
          <w:shd w:val="clear" w:fill="FFFFFF"/>
          <w:lang w:val="en-US" w:eastAsia="zh-CN" w:bidi="ar"/>
        </w:rPr>
      </w:pPr>
      <w:r>
        <w:rPr>
          <w:rFonts w:hint="eastAsia" w:asciiTheme="minorEastAsia" w:hAnsiTheme="minorEastAsia" w:eastAsiaTheme="minorEastAsia" w:cstheme="minorEastAsia"/>
          <w:i w:val="0"/>
          <w:caps w:val="0"/>
          <w:color w:val="333333"/>
          <w:spacing w:val="8"/>
          <w:kern w:val="0"/>
          <w:sz w:val="28"/>
          <w:szCs w:val="28"/>
          <w:shd w:val="clear" w:fill="FFFFFF"/>
          <w:lang w:val="en-US" w:eastAsia="zh-CN" w:bidi="ar"/>
        </w:rPr>
        <w:t>示例：1.某县县域面积1657平方公里，现状常住人口71万人，人口密度为429人/平方公里，不涉海，对应人口密度调节系数1.0-1.2，该县国土空间总体规划编制计费为：最小值=（500万+（1700-1000）/100×5万）×1.0=535万元；最大值=（500万+（1700-1000）/100×5万）×1.2=642万元。</w:t>
      </w:r>
    </w:p>
    <w:p>
      <w:pPr>
        <w:keepNext w:val="0"/>
        <w:keepLines w:val="0"/>
        <w:pageBreakBefore w:val="0"/>
        <w:kinsoku/>
        <w:wordWrap/>
        <w:overflowPunct/>
        <w:topLinePunct w:val="0"/>
        <w:autoSpaceDE/>
        <w:autoSpaceDN/>
        <w:bidi w:val="0"/>
        <w:adjustRightInd/>
        <w:snapToGrid/>
        <w:spacing w:line="480" w:lineRule="exact"/>
        <w:ind w:firstLine="592" w:firstLineChars="200"/>
        <w:jc w:val="left"/>
        <w:textAlignment w:val="auto"/>
        <w:rPr>
          <w:rFonts w:hint="eastAsia" w:asciiTheme="minorEastAsia" w:hAnsiTheme="minorEastAsia" w:eastAsiaTheme="minorEastAsia" w:cstheme="minorEastAsia"/>
          <w:i w:val="0"/>
          <w:caps w:val="0"/>
          <w:color w:val="333333"/>
          <w:spacing w:val="8"/>
          <w:kern w:val="0"/>
          <w:sz w:val="28"/>
          <w:szCs w:val="28"/>
          <w:shd w:val="clear" w:fill="FFFFFF"/>
          <w:lang w:val="en-US" w:eastAsia="zh-CN" w:bidi="ar"/>
        </w:rPr>
      </w:pPr>
      <w:r>
        <w:rPr>
          <w:rFonts w:hint="eastAsia" w:asciiTheme="minorEastAsia" w:hAnsiTheme="minorEastAsia" w:eastAsiaTheme="minorEastAsia" w:cstheme="minorEastAsia"/>
          <w:i w:val="0"/>
          <w:caps w:val="0"/>
          <w:color w:val="333333"/>
          <w:spacing w:val="8"/>
          <w:kern w:val="0"/>
          <w:sz w:val="28"/>
          <w:szCs w:val="28"/>
          <w:shd w:val="clear" w:fill="FFFFFF"/>
          <w:lang w:val="en-US" w:eastAsia="zh-CN" w:bidi="ar"/>
        </w:rPr>
        <w:t>2.某县县域面积2131平方公里，现状常住人口92万人，人口密度为434人/平方公里，属于涉海县，对应人口密度调节系数1.0-1.2，涉海情况调节系数1.1-1.3，该县国土空间总体规划编制计费为：最小值=（500万+（2100-1000）/100×5万）×1.0×1.1=611万元；最大值=（500万+（2100-1000）/100×5万）×1.2×1.3=866万元。</w:t>
      </w:r>
    </w:p>
    <w:p>
      <w:pPr>
        <w:keepNext w:val="0"/>
        <w:keepLines w:val="0"/>
        <w:pageBreakBefore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四、乡镇国土空间规划编制计费</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i w:val="0"/>
          <w:caps w:val="0"/>
          <w:color w:val="333333"/>
          <w:spacing w:val="8"/>
          <w:kern w:val="0"/>
          <w:sz w:val="28"/>
          <w:szCs w:val="28"/>
          <w:shd w:val="clear" w:fill="FFFFFF"/>
          <w:lang w:val="en-US" w:eastAsia="zh-CN" w:bidi="ar"/>
        </w:rPr>
      </w:pPr>
      <w:r>
        <w:drawing>
          <wp:inline distT="0" distB="0" distL="114300" distR="114300">
            <wp:extent cx="5495925" cy="17621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495925" cy="1762125"/>
                    </a:xfrm>
                    <a:prstGeom prst="rect">
                      <a:avLst/>
                    </a:prstGeom>
                    <a:noFill/>
                    <a:ln>
                      <a:noFill/>
                    </a:ln>
                  </pic:spPr>
                </pic:pic>
              </a:graphicData>
            </a:graphic>
          </wp:inline>
        </w:drawing>
      </w:r>
    </w:p>
    <w:sectPr>
      <w:pgSz w:w="11906" w:h="16838"/>
      <w:pgMar w:top="2098" w:right="1474" w:bottom="1984" w:left="1587" w:header="851" w:footer="992" w:gutter="0"/>
      <w:pgBorders>
        <w:top w:val="none" w:sz="0" w:space="0"/>
        <w:left w:val="none" w:sz="0" w:space="0"/>
        <w:bottom w:val="none" w:sz="0" w:space="0"/>
        <w:right w:val="none" w:sz="0" w:space="0"/>
      </w:pgBorders>
      <w:lnNumType w:countBy="0" w:distance="36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06EA8"/>
    <w:rsid w:val="04543C38"/>
    <w:rsid w:val="0E5D1E44"/>
    <w:rsid w:val="11A11A18"/>
    <w:rsid w:val="28985D1B"/>
    <w:rsid w:val="32E06EA8"/>
    <w:rsid w:val="4D6052FE"/>
    <w:rsid w:val="52AA2F0D"/>
    <w:rsid w:val="66271349"/>
    <w:rsid w:val="686214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2020-04-09T05:59:00Z</dcterms:created>
  <dc:creator>糖糖小妹</dc:creator>
  <cp:lastModifiedBy>糖糖小妹</cp:lastModifiedBy>
  <dcterms:modified xsi:type="dcterms:W3CDTF">2020-05-25T07:11:51Z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